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33E5" w14:textId="77777777" w:rsidR="007D1D02" w:rsidRPr="007A67E3" w:rsidRDefault="007D1D02" w:rsidP="007D1D02">
      <w:pPr>
        <w:pStyle w:val="Vrazncitt"/>
        <w:rPr>
          <w:b/>
          <w:bCs/>
          <w:szCs w:val="22"/>
        </w:rPr>
      </w:pPr>
      <w:bookmarkStart w:id="0" w:name="_Toc78818740"/>
      <w:r w:rsidRPr="007A67E3">
        <w:rPr>
          <w:b/>
          <w:bCs/>
        </w:rPr>
        <w:t>Vyloučení odpovědnosti autorů</w:t>
      </w:r>
    </w:p>
    <w:p w14:paraId="261B7C73" w14:textId="1FC14D03" w:rsidR="007D1D02" w:rsidRPr="007D1D02" w:rsidRDefault="007D1D02" w:rsidP="007D1D02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i/>
          <w:iCs/>
        </w:rPr>
        <w:t>Informace, materiály, myšlenky a závěry v tomto materiálu slouží pouze pro účely edukace účastníků workshopu jako vzdělávací materiál a vyjadřují pouze obecně osobní názory autorů a jejich náhled na danou problematiku. Informace zde uvedené nelze v žádném případě chápat jako jediná možná či jednoznačná doporučení či závazné vzory, nebo dokonce rady profesionála konkrétnímu subjektu, ani s nimi jakkoliv argumentovat v případě oficiálních stanovisek či při komunikaci se třetí stranou.</w:t>
      </w:r>
    </w:p>
    <w:p w14:paraId="24ACCEF4" w14:textId="77777777" w:rsidR="007D1D02" w:rsidRDefault="007D1D02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D992EDE" w14:textId="078216AE" w:rsidR="007D1D02" w:rsidRDefault="007D1D02" w:rsidP="007D1D02">
      <w:pPr>
        <w:pStyle w:val="Nadpis1"/>
        <w:numPr>
          <w:ilvl w:val="0"/>
          <w:numId w:val="0"/>
        </w:numPr>
      </w:pPr>
      <w:r>
        <w:lastRenderedPageBreak/>
        <w:t>Příloha č. 2: Možný podklad pro vytvoření obecně závazné vyhlášky</w:t>
      </w:r>
      <w:bookmarkEnd w:id="0"/>
    </w:p>
    <w:p w14:paraId="08A7C9ED" w14:textId="77777777" w:rsidR="007D1D02" w:rsidRDefault="007D1D02" w:rsidP="007D1D02">
      <w:pPr>
        <w:spacing w:after="0" w:line="276" w:lineRule="auto"/>
        <w:jc w:val="center"/>
        <w:rPr>
          <w:rFonts w:cstheme="minorHAnsi"/>
          <w:b/>
          <w:szCs w:val="22"/>
        </w:rPr>
      </w:pPr>
      <w:bookmarkStart w:id="1" w:name="_Toc77580801"/>
      <w:r w:rsidRPr="00E65A2F">
        <w:rPr>
          <w:rFonts w:cstheme="minorHAnsi"/>
          <w:b/>
          <w:szCs w:val="22"/>
        </w:rPr>
        <w:t>Obec/</w:t>
      </w:r>
      <w:r>
        <w:rPr>
          <w:rFonts w:cstheme="minorHAnsi"/>
          <w:b/>
          <w:szCs w:val="22"/>
        </w:rPr>
        <w:t>Městys/</w:t>
      </w:r>
      <w:r w:rsidRPr="00E65A2F">
        <w:rPr>
          <w:rFonts w:cstheme="minorHAnsi"/>
          <w:b/>
          <w:szCs w:val="22"/>
        </w:rPr>
        <w:t>Město XY</w:t>
      </w:r>
    </w:p>
    <w:p w14:paraId="27FA4352" w14:textId="77777777" w:rsidR="007D1D02" w:rsidRPr="00E65A2F" w:rsidRDefault="007D1D02" w:rsidP="007D1D02">
      <w:pPr>
        <w:spacing w:after="0" w:line="276" w:lineRule="auto"/>
        <w:jc w:val="center"/>
        <w:rPr>
          <w:rFonts w:cstheme="minorHAnsi"/>
          <w:b/>
          <w:szCs w:val="22"/>
        </w:rPr>
      </w:pPr>
    </w:p>
    <w:p w14:paraId="46F5596F" w14:textId="77777777" w:rsidR="007D1D02" w:rsidRPr="00E65A2F" w:rsidRDefault="007D1D02" w:rsidP="007D1D02">
      <w:pPr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Obecně závazná vyhláška č. x/20XX</w:t>
      </w:r>
    </w:p>
    <w:p w14:paraId="4D74DD73" w14:textId="77777777" w:rsidR="007D1D02" w:rsidRPr="00E65A2F" w:rsidRDefault="007D1D02" w:rsidP="007D1D02">
      <w:pPr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 xml:space="preserve">o stanovení koeficientu/ů pro výpočet daně z nemovitých věcí </w:t>
      </w:r>
    </w:p>
    <w:p w14:paraId="176074B9" w14:textId="77777777" w:rsidR="007D1D02" w:rsidRPr="00E65A2F" w:rsidRDefault="007D1D02" w:rsidP="007D1D02">
      <w:pPr>
        <w:spacing w:after="0" w:line="276" w:lineRule="auto"/>
        <w:rPr>
          <w:rFonts w:cstheme="minorHAnsi"/>
          <w:szCs w:val="22"/>
        </w:rPr>
      </w:pPr>
    </w:p>
    <w:p w14:paraId="6A6A9EEB" w14:textId="77777777" w:rsidR="007D1D02" w:rsidRDefault="007D1D02" w:rsidP="007D1D02">
      <w:pPr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Zastupitelstvo obce</w:t>
      </w:r>
      <w:r>
        <w:rPr>
          <w:rFonts w:cstheme="minorHAnsi"/>
          <w:szCs w:val="22"/>
        </w:rPr>
        <w:t>/městyse/města</w:t>
      </w:r>
      <w:r w:rsidRPr="00E65A2F">
        <w:rPr>
          <w:rFonts w:cstheme="minorHAnsi"/>
          <w:szCs w:val="22"/>
        </w:rPr>
        <w:t xml:space="preserve"> X</w:t>
      </w:r>
      <w:r>
        <w:rPr>
          <w:rFonts w:cstheme="minorHAnsi"/>
          <w:szCs w:val="22"/>
        </w:rPr>
        <w:t>Y</w:t>
      </w:r>
      <w:r w:rsidRPr="00E65A2F">
        <w:rPr>
          <w:rFonts w:cstheme="minorHAnsi"/>
          <w:szCs w:val="22"/>
        </w:rPr>
        <w:t xml:space="preserve"> se na svém zasedání ze dne DD.MM.RRRR usnesením č. </w:t>
      </w:r>
      <w:proofErr w:type="spellStart"/>
      <w:r>
        <w:rPr>
          <w:rFonts w:cstheme="minorHAnsi"/>
          <w:szCs w:val="22"/>
        </w:rPr>
        <w:t>xx</w:t>
      </w:r>
      <w:proofErr w:type="spellEnd"/>
      <w:r w:rsidRPr="00E65A2F">
        <w:rPr>
          <w:rFonts w:cstheme="minorHAnsi"/>
          <w:szCs w:val="22"/>
        </w:rPr>
        <w:t xml:space="preserve"> usneslo vydat na základě § 6 odst. 4 písm. b)</w:t>
      </w:r>
      <w:r w:rsidRPr="00E65A2F">
        <w:rPr>
          <w:rStyle w:val="Znakapoznpodarou"/>
          <w:rFonts w:eastAsiaTheme="majorEastAsia" w:cstheme="minorHAnsi"/>
          <w:szCs w:val="22"/>
        </w:rPr>
        <w:footnoteReference w:id="1"/>
      </w:r>
      <w:r w:rsidRPr="00E65A2F">
        <w:rPr>
          <w:rFonts w:cstheme="minorHAnsi"/>
          <w:szCs w:val="22"/>
        </w:rPr>
        <w:t>, § 11 odst. 3 písm. a)</w:t>
      </w:r>
      <w:r w:rsidRPr="00E65A2F">
        <w:rPr>
          <w:rStyle w:val="Znakapoznpodarou"/>
          <w:rFonts w:eastAsiaTheme="majorEastAsia" w:cstheme="minorHAnsi"/>
          <w:szCs w:val="22"/>
        </w:rPr>
        <w:footnoteReference w:id="2"/>
      </w:r>
      <w:r w:rsidRPr="00E65A2F">
        <w:rPr>
          <w:rFonts w:cstheme="minorHAnsi"/>
          <w:szCs w:val="22"/>
        </w:rPr>
        <w:t xml:space="preserve"> a b)</w:t>
      </w:r>
      <w:r w:rsidRPr="00E65A2F">
        <w:rPr>
          <w:rStyle w:val="Znakapoznpodarou"/>
          <w:rFonts w:eastAsiaTheme="majorEastAsia" w:cstheme="minorHAnsi"/>
          <w:szCs w:val="22"/>
        </w:rPr>
        <w:footnoteReference w:id="3"/>
      </w:r>
      <w:r w:rsidRPr="00E65A2F">
        <w:rPr>
          <w:rFonts w:cstheme="minorHAnsi"/>
          <w:color w:val="FF0000"/>
          <w:szCs w:val="22"/>
        </w:rPr>
        <w:t xml:space="preserve"> </w:t>
      </w:r>
      <w:r w:rsidRPr="00E65A2F">
        <w:rPr>
          <w:rFonts w:cstheme="minorHAnsi"/>
          <w:szCs w:val="22"/>
        </w:rPr>
        <w:t>a § 12</w:t>
      </w:r>
      <w:r w:rsidRPr="00E65A2F">
        <w:rPr>
          <w:rStyle w:val="Znakapoznpodarou"/>
          <w:rFonts w:eastAsiaTheme="majorEastAsia" w:cstheme="minorHAnsi"/>
          <w:szCs w:val="22"/>
        </w:rPr>
        <w:footnoteReference w:id="4"/>
      </w:r>
      <w:r w:rsidRPr="00E65A2F">
        <w:rPr>
          <w:rFonts w:cstheme="minorHAnsi"/>
          <w:szCs w:val="22"/>
        </w:rPr>
        <w:t xml:space="preserve"> zákona č. 338/1992 Sb., o dani z nemovitých věcí, ve znění pozdějších předpisů (dále jen „zákon o dani z nemovitých věcí“) a v souladu s ustanovením § 84 odst. 2 písm. h) zákona č. 128/2000 Sb., o obcích (obecní zřízení), ve znění pozdějších předpisů, tuto obecně závaznou vyhlášku:</w:t>
      </w:r>
    </w:p>
    <w:p w14:paraId="175F82AD" w14:textId="77777777" w:rsidR="007D1D02" w:rsidRPr="00E65A2F" w:rsidRDefault="007D1D02" w:rsidP="007D1D02">
      <w:pPr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Čl. 1</w:t>
      </w:r>
    </w:p>
    <w:p w14:paraId="4624F081" w14:textId="77777777" w:rsidR="007D1D02" w:rsidRPr="00486BCE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color w:val="2E74B5" w:themeColor="accent1" w:themeShade="BF"/>
          <w:szCs w:val="22"/>
        </w:rPr>
      </w:pPr>
      <w:r w:rsidRPr="00E65A2F">
        <w:rPr>
          <w:rFonts w:cstheme="minorHAnsi"/>
          <w:szCs w:val="22"/>
        </w:rPr>
        <w:t>U stavebních pozemků se stanovuje koeficient, kterým se násobí základní sazba daně stanovená dle</w:t>
      </w:r>
      <w:r>
        <w:rPr>
          <w:rFonts w:cstheme="minorHAnsi"/>
          <w:szCs w:val="22"/>
        </w:rPr>
        <w:t xml:space="preserve"> </w:t>
      </w:r>
      <w:r w:rsidRPr="00E65A2F">
        <w:rPr>
          <w:rFonts w:cstheme="minorHAnsi"/>
          <w:szCs w:val="22"/>
        </w:rPr>
        <w:t xml:space="preserve">§ 6 odst. 2 písm. b) zákona o dani z nemovitých věcí, ve výši XY pro celou obec X // pro části obce </w:t>
      </w:r>
      <w:r>
        <w:rPr>
          <w:rFonts w:cstheme="minorHAnsi"/>
          <w:color w:val="2E74B5" w:themeColor="accent1" w:themeShade="BF"/>
          <w:szCs w:val="22"/>
        </w:rPr>
        <w:t>***</w:t>
      </w:r>
      <w:r w:rsidRPr="00531A62">
        <w:rPr>
          <w:rFonts w:cstheme="minorHAnsi"/>
          <w:szCs w:val="22"/>
        </w:rPr>
        <w:t>.</w:t>
      </w:r>
    </w:p>
    <w:p w14:paraId="122B4D8C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2"/>
        </w:rPr>
      </w:pPr>
      <w:r w:rsidRPr="00E65A2F">
        <w:rPr>
          <w:rFonts w:cstheme="minorHAnsi"/>
          <w:b/>
          <w:szCs w:val="22"/>
        </w:rPr>
        <w:t>Čl. 2</w:t>
      </w:r>
    </w:p>
    <w:p w14:paraId="224AAEAE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U zdanitelných staveb uvedených v § 11 odst. 1 písm. a)</w:t>
      </w:r>
      <w:r w:rsidRPr="00E65A2F">
        <w:rPr>
          <w:rStyle w:val="Znakapoznpodarou"/>
          <w:rFonts w:eastAsiaTheme="majorEastAsia" w:cstheme="minorHAnsi"/>
          <w:szCs w:val="22"/>
        </w:rPr>
        <w:footnoteReference w:id="5"/>
      </w:r>
      <w:r w:rsidRPr="00E65A2F">
        <w:rPr>
          <w:rFonts w:cstheme="minorHAnsi"/>
          <w:szCs w:val="22"/>
        </w:rPr>
        <w:t xml:space="preserve"> a ostatních zdanitelných jednotek uvedených v § 11 odst. 1 písm. f)</w:t>
      </w:r>
      <w:r w:rsidRPr="00E65A2F">
        <w:rPr>
          <w:rStyle w:val="Znakapoznpodarou"/>
          <w:rFonts w:eastAsiaTheme="majorEastAsia" w:cstheme="minorHAnsi"/>
          <w:szCs w:val="22"/>
        </w:rPr>
        <w:footnoteReference w:id="6"/>
      </w:r>
      <w:r w:rsidRPr="00E65A2F">
        <w:rPr>
          <w:rFonts w:cstheme="minorHAnsi"/>
          <w:szCs w:val="22"/>
        </w:rPr>
        <w:t xml:space="preserve"> zákona o dani z nemovitých věcí se stanovuje koeficient, kterým se násobí základní sazba daně, případně sazba daně zvýšená podle § 11 odst. 2 zákona o dani z nemovitých věcí, ve výši XY pro celou obec X // pro části obce </w:t>
      </w:r>
      <w:r>
        <w:rPr>
          <w:rFonts w:cstheme="minorHAnsi"/>
          <w:color w:val="2E74B5" w:themeColor="accent1" w:themeShade="BF"/>
          <w:szCs w:val="22"/>
        </w:rPr>
        <w:t>**</w:t>
      </w:r>
      <w:r w:rsidRPr="00486BCE">
        <w:rPr>
          <w:rFonts w:cstheme="minorHAnsi"/>
          <w:color w:val="2E74B5" w:themeColor="accent1" w:themeShade="BF"/>
          <w:szCs w:val="22"/>
        </w:rPr>
        <w:t>*</w:t>
      </w:r>
      <w:r w:rsidRPr="00531A62">
        <w:rPr>
          <w:rFonts w:cstheme="minorHAnsi"/>
          <w:szCs w:val="22"/>
        </w:rPr>
        <w:t>.</w:t>
      </w:r>
    </w:p>
    <w:p w14:paraId="261C133E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Čl. 3</w:t>
      </w:r>
    </w:p>
    <w:p w14:paraId="1E1AF6AF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U zdanitelných staveb a zdanitelných jednotek uvedených v § 11 odst. 1 písm. b) až d)</w:t>
      </w:r>
      <w:r w:rsidRPr="00E65A2F">
        <w:rPr>
          <w:rStyle w:val="Znakapoznpodarou"/>
          <w:rFonts w:eastAsiaTheme="majorEastAsia" w:cstheme="minorHAnsi"/>
          <w:szCs w:val="22"/>
        </w:rPr>
        <w:footnoteReference w:id="7"/>
      </w:r>
      <w:r w:rsidRPr="00E65A2F">
        <w:rPr>
          <w:rFonts w:cstheme="minorHAnsi"/>
          <w:szCs w:val="22"/>
        </w:rPr>
        <w:t xml:space="preserve"> zákona o dani z nemovitých věcí se stanovuje koeficient, kterým se násobí základní sazba daně, případně sazba daně zvýšená podle § 11 odst. 2 zákona o dani z nemovitých věcí, ve výši 1,5.</w:t>
      </w:r>
    </w:p>
    <w:p w14:paraId="0B766428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Čl. 4</w:t>
      </w:r>
    </w:p>
    <w:p w14:paraId="57ECF812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Na území obce X // pro část</w:t>
      </w:r>
      <w:r>
        <w:rPr>
          <w:rFonts w:cstheme="minorHAnsi"/>
          <w:szCs w:val="22"/>
        </w:rPr>
        <w:t>i</w:t>
      </w:r>
      <w:r w:rsidRPr="00E65A2F">
        <w:rPr>
          <w:rFonts w:cstheme="minorHAnsi"/>
          <w:szCs w:val="22"/>
        </w:rPr>
        <w:t xml:space="preserve"> obce X </w:t>
      </w:r>
      <w:r>
        <w:rPr>
          <w:rFonts w:cstheme="minorHAnsi"/>
          <w:color w:val="2E74B5" w:themeColor="accent1" w:themeShade="BF"/>
          <w:szCs w:val="22"/>
        </w:rPr>
        <w:t>**</w:t>
      </w:r>
      <w:r w:rsidRPr="00486BCE">
        <w:rPr>
          <w:rFonts w:cstheme="minorHAnsi"/>
          <w:color w:val="2E74B5" w:themeColor="accent1" w:themeShade="BF"/>
          <w:szCs w:val="22"/>
        </w:rPr>
        <w:t>*</w:t>
      </w:r>
      <w:r>
        <w:rPr>
          <w:rFonts w:cstheme="minorHAnsi"/>
          <w:szCs w:val="22"/>
        </w:rPr>
        <w:t xml:space="preserve"> </w:t>
      </w:r>
      <w:r w:rsidRPr="00E65A2F">
        <w:rPr>
          <w:rFonts w:cstheme="minorHAnsi"/>
          <w:szCs w:val="22"/>
        </w:rPr>
        <w:t xml:space="preserve">se stanovuje </w:t>
      </w:r>
      <w:r w:rsidRPr="00E65A2F">
        <w:rPr>
          <w:rFonts w:cstheme="minorHAnsi"/>
          <w:bCs/>
          <w:szCs w:val="22"/>
        </w:rPr>
        <w:t xml:space="preserve">místní koeficient ve výši </w:t>
      </w:r>
      <w:r>
        <w:rPr>
          <w:rFonts w:cstheme="minorHAnsi"/>
          <w:bCs/>
          <w:szCs w:val="22"/>
        </w:rPr>
        <w:t xml:space="preserve">... </w:t>
      </w:r>
      <w:r w:rsidRPr="00531A62">
        <w:rPr>
          <w:rFonts w:cstheme="minorHAnsi"/>
          <w:bCs/>
          <w:i/>
          <w:iCs/>
          <w:color w:val="2E74B5" w:themeColor="accent1" w:themeShade="BF"/>
          <w:szCs w:val="22"/>
        </w:rPr>
        <w:t>(1,1 – 5, koeficient musí být vymezen s přesností na jedno desetinné místo)</w:t>
      </w:r>
      <w:r>
        <w:rPr>
          <w:rFonts w:cstheme="minorHAnsi"/>
          <w:bCs/>
          <w:i/>
          <w:iCs/>
          <w:szCs w:val="22"/>
        </w:rPr>
        <w:t>,</w:t>
      </w:r>
      <w:r w:rsidRPr="00531A62">
        <w:rPr>
          <w:rFonts w:cstheme="minorHAnsi"/>
          <w:color w:val="2E74B5" w:themeColor="accent1" w:themeShade="BF"/>
          <w:szCs w:val="22"/>
        </w:rPr>
        <w:t xml:space="preserve"> </w:t>
      </w:r>
      <w:r w:rsidRPr="00E65A2F">
        <w:rPr>
          <w:rFonts w:cstheme="minorHAnsi"/>
          <w:szCs w:val="22"/>
        </w:rPr>
        <w:t xml:space="preserve">kterým se násobí daň poplatníka za </w:t>
      </w:r>
      <w:r w:rsidRPr="00E65A2F">
        <w:rPr>
          <w:rFonts w:cstheme="minorHAnsi"/>
          <w:szCs w:val="22"/>
        </w:rPr>
        <w:lastRenderedPageBreak/>
        <w:t>jednotlivé druhy pozemků, zdanitelných staveb nebo zdanitelných jednotek, popřípadě jejich souhrny, s výjimkou pozemků uvedených v § 5 odst. 1 zákona o dani z nemovitých věcí.</w:t>
      </w:r>
    </w:p>
    <w:p w14:paraId="38F5A474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Čl. 5</w:t>
      </w:r>
    </w:p>
    <w:p w14:paraId="42B2CEC8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 xml:space="preserve">Touto </w:t>
      </w:r>
      <w:r>
        <w:rPr>
          <w:rFonts w:cstheme="minorHAnsi"/>
          <w:szCs w:val="22"/>
        </w:rPr>
        <w:t xml:space="preserve">obecně závaznou </w:t>
      </w:r>
      <w:r w:rsidRPr="00E65A2F">
        <w:rPr>
          <w:rFonts w:cstheme="minorHAnsi"/>
          <w:szCs w:val="22"/>
        </w:rPr>
        <w:t>vyhláškou se ruší (mění) Obecně závazná vyhláška obce X č. XY ze dne….</w:t>
      </w:r>
    </w:p>
    <w:p w14:paraId="60B3A3EC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Cs w:val="22"/>
        </w:rPr>
      </w:pPr>
      <w:r w:rsidRPr="00E65A2F">
        <w:rPr>
          <w:rFonts w:cstheme="minorHAnsi"/>
          <w:b/>
          <w:szCs w:val="22"/>
        </w:rPr>
        <w:t>Čl. 6</w:t>
      </w:r>
    </w:p>
    <w:p w14:paraId="66A489B2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Tato obecně závazná vyhláška nabývá účinnosti dnem 01. 01. 20XX</w:t>
      </w:r>
    </w:p>
    <w:p w14:paraId="51436042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</w:p>
    <w:p w14:paraId="20D0A1B7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.............................................</w:t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  <w:t>...............................................</w:t>
      </w:r>
    </w:p>
    <w:p w14:paraId="7ED8A5DF" w14:textId="77777777" w:rsidR="007D1D02" w:rsidRPr="00E65A2F" w:rsidRDefault="007D1D02" w:rsidP="007D1D02">
      <w:pPr>
        <w:autoSpaceDE w:val="0"/>
        <w:autoSpaceDN w:val="0"/>
        <w:adjustRightInd w:val="0"/>
        <w:spacing w:before="0"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Jméno Příjmení</w:t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>Jméno Příjmení</w:t>
      </w:r>
    </w:p>
    <w:p w14:paraId="58604549" w14:textId="77777777" w:rsidR="007D1D02" w:rsidRPr="00E65A2F" w:rsidRDefault="007D1D02" w:rsidP="007D1D02">
      <w:pPr>
        <w:autoSpaceDE w:val="0"/>
        <w:autoSpaceDN w:val="0"/>
        <w:adjustRightInd w:val="0"/>
        <w:spacing w:before="0" w:after="0" w:line="276" w:lineRule="auto"/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místostarosta/</w:t>
      </w:r>
      <w:proofErr w:type="spellStart"/>
      <w:r w:rsidRPr="00E65A2F">
        <w:rPr>
          <w:rFonts w:cstheme="minorHAnsi"/>
          <w:szCs w:val="22"/>
        </w:rPr>
        <w:t>ka</w:t>
      </w:r>
      <w:proofErr w:type="spellEnd"/>
      <w:r w:rsidRPr="00E65A2F">
        <w:rPr>
          <w:rFonts w:cstheme="minorHAnsi"/>
          <w:szCs w:val="22"/>
        </w:rPr>
        <w:t xml:space="preserve"> </w:t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</w:r>
      <w:r w:rsidRPr="00E65A2F">
        <w:rPr>
          <w:rFonts w:cstheme="minorHAnsi"/>
          <w:szCs w:val="22"/>
        </w:rPr>
        <w:tab/>
        <w:t>starosta/</w:t>
      </w:r>
      <w:proofErr w:type="spellStart"/>
      <w:r w:rsidRPr="00E65A2F">
        <w:rPr>
          <w:rFonts w:cstheme="minorHAnsi"/>
          <w:szCs w:val="22"/>
        </w:rPr>
        <w:t>ka</w:t>
      </w:r>
      <w:proofErr w:type="spellEnd"/>
    </w:p>
    <w:p w14:paraId="004EE34E" w14:textId="77777777" w:rsidR="007D1D02" w:rsidRPr="00E65A2F" w:rsidRDefault="007D1D02" w:rsidP="007D1D02">
      <w:pPr>
        <w:autoSpaceDE w:val="0"/>
        <w:autoSpaceDN w:val="0"/>
        <w:adjustRightInd w:val="0"/>
        <w:spacing w:before="0" w:after="0" w:line="276" w:lineRule="auto"/>
        <w:rPr>
          <w:rFonts w:cstheme="minorHAnsi"/>
          <w:szCs w:val="22"/>
        </w:rPr>
      </w:pPr>
    </w:p>
    <w:p w14:paraId="6D72DC62" w14:textId="77777777" w:rsidR="007D1D02" w:rsidRPr="00E65A2F" w:rsidRDefault="007D1D02" w:rsidP="007D1D02">
      <w:pPr>
        <w:autoSpaceDE w:val="0"/>
        <w:autoSpaceDN w:val="0"/>
        <w:adjustRightInd w:val="0"/>
        <w:spacing w:before="0" w:after="0" w:line="276" w:lineRule="auto"/>
        <w:rPr>
          <w:rFonts w:cstheme="minorHAnsi"/>
          <w:szCs w:val="22"/>
        </w:rPr>
      </w:pPr>
    </w:p>
    <w:p w14:paraId="6A7D8C85" w14:textId="77777777" w:rsidR="007D1D02" w:rsidRPr="00491F73" w:rsidRDefault="007D1D02" w:rsidP="007D1D02">
      <w:pPr>
        <w:spacing w:line="240" w:lineRule="auto"/>
      </w:pPr>
      <w:r w:rsidRPr="00491F73">
        <w:t>Vyvěšeno na úřední desce dne:</w:t>
      </w:r>
    </w:p>
    <w:p w14:paraId="6D84A859" w14:textId="77777777" w:rsidR="007D1D02" w:rsidRPr="00491F73" w:rsidRDefault="007D1D02" w:rsidP="007D1D02">
      <w:pPr>
        <w:spacing w:line="240" w:lineRule="auto"/>
      </w:pPr>
      <w:r w:rsidRPr="00491F73">
        <w:t>Sejmuto z úřední desky dne:</w:t>
      </w:r>
    </w:p>
    <w:p w14:paraId="153B5CF7" w14:textId="77777777" w:rsidR="007D1D02" w:rsidRPr="00491F73" w:rsidRDefault="007D1D02" w:rsidP="007D1D02">
      <w:pPr>
        <w:spacing w:line="240" w:lineRule="auto"/>
      </w:pPr>
      <w:r w:rsidRPr="00491F73">
        <w:t>Zasláno správci daně dne:</w:t>
      </w:r>
    </w:p>
    <w:p w14:paraId="216A224F" w14:textId="77777777" w:rsidR="007D1D02" w:rsidRPr="00E65A2F" w:rsidRDefault="007D1D02" w:rsidP="007D1D02">
      <w:pPr>
        <w:pBdr>
          <w:bottom w:val="single" w:sz="6" w:space="1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</w:p>
    <w:p w14:paraId="7FB2FB79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>
        <w:rPr>
          <w:rFonts w:cstheme="minorHAnsi"/>
          <w:color w:val="2E74B5" w:themeColor="accent1" w:themeShade="BF"/>
          <w:szCs w:val="22"/>
        </w:rPr>
        <w:t>Pozn. **</w:t>
      </w:r>
      <w:r w:rsidRPr="00486BCE">
        <w:rPr>
          <w:rFonts w:cstheme="minorHAnsi"/>
          <w:color w:val="2E74B5" w:themeColor="accent1" w:themeShade="BF"/>
          <w:szCs w:val="22"/>
        </w:rPr>
        <w:t>*</w:t>
      </w:r>
      <w:r w:rsidRPr="00486BCE">
        <w:rPr>
          <w:rFonts w:cstheme="minorHAnsi"/>
          <w:i/>
          <w:iCs/>
          <w:color w:val="2E74B5" w:themeColor="accent1" w:themeShade="BF"/>
          <w:szCs w:val="22"/>
        </w:rPr>
        <w:t>taxativní vymezení katastrálních území</w:t>
      </w:r>
      <w:r>
        <w:rPr>
          <w:rFonts w:cstheme="minorHAnsi"/>
          <w:i/>
          <w:iCs/>
          <w:color w:val="2E74B5" w:themeColor="accent1" w:themeShade="BF"/>
          <w:szCs w:val="22"/>
        </w:rPr>
        <w:t xml:space="preserve"> či </w:t>
      </w:r>
      <w:r w:rsidRPr="00486BCE">
        <w:rPr>
          <w:i/>
          <w:iCs/>
          <w:color w:val="2E74B5" w:themeColor="accent1" w:themeShade="BF"/>
        </w:rPr>
        <w:t>jiné vymezení části obce jednoznačným</w:t>
      </w:r>
      <w:r>
        <w:rPr>
          <w:i/>
          <w:iCs/>
          <w:color w:val="2E74B5" w:themeColor="accent1" w:themeShade="BF"/>
        </w:rPr>
        <w:br/>
      </w:r>
      <w:r w:rsidRPr="00486BCE">
        <w:rPr>
          <w:i/>
          <w:iCs/>
          <w:color w:val="2E74B5" w:themeColor="accent1" w:themeShade="BF"/>
        </w:rPr>
        <w:t>a nezaměnitelným způsobem</w:t>
      </w:r>
      <w:r>
        <w:rPr>
          <w:i/>
          <w:iCs/>
          <w:color w:val="2E74B5" w:themeColor="accent1" w:themeShade="BF"/>
        </w:rPr>
        <w:t xml:space="preserve"> </w:t>
      </w:r>
      <w:r w:rsidRPr="00486BCE">
        <w:rPr>
          <w:rFonts w:cstheme="minorHAnsi"/>
          <w:i/>
          <w:iCs/>
          <w:color w:val="2E74B5" w:themeColor="accent1" w:themeShade="BF"/>
          <w:szCs w:val="22"/>
        </w:rPr>
        <w:t>(d</w:t>
      </w:r>
      <w:r w:rsidRPr="00486BCE">
        <w:rPr>
          <w:i/>
          <w:iCs/>
          <w:color w:val="2E74B5" w:themeColor="accent1" w:themeShade="BF"/>
        </w:rPr>
        <w:t>le rozsahu vymezení lze uvést přímo v textu OZV nebo její příloze</w:t>
      </w:r>
      <w:r w:rsidRPr="00486BCE">
        <w:rPr>
          <w:rFonts w:cstheme="minorHAnsi"/>
          <w:i/>
          <w:iCs/>
          <w:color w:val="2E74B5" w:themeColor="accent1" w:themeShade="BF"/>
          <w:szCs w:val="22"/>
        </w:rPr>
        <w:t xml:space="preserve"> </w:t>
      </w:r>
      <w:r>
        <w:rPr>
          <w:rFonts w:cstheme="minorHAnsi"/>
          <w:i/>
          <w:iCs/>
          <w:color w:val="2E74B5" w:themeColor="accent1" w:themeShade="BF"/>
          <w:szCs w:val="22"/>
        </w:rPr>
        <w:t>- např.</w:t>
      </w:r>
      <w:r w:rsidRPr="00486BCE">
        <w:rPr>
          <w:rFonts w:cstheme="minorHAnsi"/>
          <w:i/>
          <w:iCs/>
          <w:color w:val="2E74B5" w:themeColor="accent1" w:themeShade="BF"/>
          <w:szCs w:val="22"/>
        </w:rPr>
        <w:t xml:space="preserve"> taxativní vymezení parcelních </w:t>
      </w:r>
      <w:r>
        <w:rPr>
          <w:rFonts w:cstheme="minorHAnsi"/>
          <w:i/>
          <w:iCs/>
          <w:color w:val="2E74B5" w:themeColor="accent1" w:themeShade="BF"/>
          <w:szCs w:val="22"/>
        </w:rPr>
        <w:t>čísel nebo zakreslením v mapě</w:t>
      </w:r>
      <w:r w:rsidRPr="00486BCE">
        <w:rPr>
          <w:rFonts w:cstheme="minorHAnsi"/>
          <w:i/>
          <w:iCs/>
          <w:color w:val="2E74B5" w:themeColor="accent1" w:themeShade="BF"/>
          <w:szCs w:val="22"/>
        </w:rPr>
        <w:t>).</w:t>
      </w:r>
    </w:p>
    <w:p w14:paraId="10665BCD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2E74B5" w:themeColor="accent1" w:themeShade="BF"/>
          <w:szCs w:val="22"/>
        </w:rPr>
      </w:pPr>
      <w:r w:rsidRPr="00FE4F14">
        <w:rPr>
          <w:rFonts w:cstheme="minorHAnsi"/>
          <w:i/>
          <w:iCs/>
          <w:color w:val="2E74B5" w:themeColor="accent1" w:themeShade="BF"/>
          <w:szCs w:val="22"/>
        </w:rPr>
        <w:t xml:space="preserve">Pozn. Článek 1, 2 a 4 může mít více odstavců, ve kterých se vymezí jednotlivé části obce. Uvedeným částem bude následně přiřazen rozdílný koeficient v souladu s ust. § 6 odst. 4 písm. b), § 11 odst. 3 písm. a) a § 12 zákona o dani z nemovitých věcí.  </w:t>
      </w:r>
    </w:p>
    <w:p w14:paraId="41DC9147" w14:textId="77777777" w:rsidR="007D1D02" w:rsidRDefault="007D1D02" w:rsidP="007D1D02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14:paraId="45BE2769" w14:textId="77777777" w:rsidR="007D1D02" w:rsidRDefault="007D1D02" w:rsidP="007D1D02">
      <w:pPr>
        <w:pStyle w:val="Nadpis1"/>
        <w:numPr>
          <w:ilvl w:val="0"/>
          <w:numId w:val="0"/>
        </w:numPr>
        <w:ind w:left="431" w:hanging="431"/>
      </w:pPr>
      <w:bookmarkStart w:id="2" w:name="_Toc78818741"/>
      <w:r>
        <w:lastRenderedPageBreak/>
        <w:t>Příloha č. 3: Návrh na usnesení (schválení OZV) - možn</w:t>
      </w:r>
      <w:bookmarkEnd w:id="1"/>
      <w:bookmarkEnd w:id="2"/>
      <w:r>
        <w:t>á podoba</w:t>
      </w:r>
    </w:p>
    <w:p w14:paraId="2AFAC016" w14:textId="77777777" w:rsidR="007D1D02" w:rsidRPr="0003118C" w:rsidRDefault="007D1D02" w:rsidP="007D1D02"/>
    <w:p w14:paraId="70A7D6C5" w14:textId="77777777" w:rsidR="007D1D02" w:rsidRDefault="007D1D02" w:rsidP="007D1D02">
      <w:pPr>
        <w:pBdr>
          <w:bottom w:val="single" w:sz="4" w:space="1" w:color="auto"/>
        </w:pBdr>
        <w:spacing w:before="0" w:after="0"/>
        <w:jc w:val="center"/>
      </w:pPr>
      <w:r>
        <w:t>Obec/Městys/Město XY – logo apod.</w:t>
      </w:r>
    </w:p>
    <w:p w14:paraId="71E7280B" w14:textId="77777777" w:rsidR="007D1D02" w:rsidRDefault="007D1D02" w:rsidP="007D1D02">
      <w:pPr>
        <w:spacing w:before="0" w:after="0"/>
      </w:pPr>
    </w:p>
    <w:p w14:paraId="4BF81E2A" w14:textId="77777777" w:rsidR="007D1D02" w:rsidRDefault="007D1D02" w:rsidP="007D1D02">
      <w:pPr>
        <w:spacing w:before="0" w:after="0"/>
      </w:pPr>
      <w:r>
        <w:t>Jednání:</w:t>
      </w:r>
      <w:r>
        <w:tab/>
      </w:r>
      <w:proofErr w:type="spellStart"/>
      <w:r>
        <w:t>xx</w:t>
      </w:r>
      <w:proofErr w:type="spellEnd"/>
      <w:r>
        <w:t>. zasedání Zastupitelstva obce/městyse/města XY, konané dne DD. MM. RRRR</w:t>
      </w:r>
    </w:p>
    <w:p w14:paraId="08AA07F4" w14:textId="77777777" w:rsidR="007D1D02" w:rsidRDefault="007D1D02" w:rsidP="007D1D02">
      <w:pPr>
        <w:spacing w:before="0" w:after="0"/>
      </w:pPr>
      <w:r>
        <w:t xml:space="preserve">Číslo materiálu: </w:t>
      </w:r>
      <w:proofErr w:type="spellStart"/>
      <w:r>
        <w:t>xxxxxxxxxx</w:t>
      </w:r>
      <w:proofErr w:type="spellEnd"/>
    </w:p>
    <w:p w14:paraId="7DFFD52F" w14:textId="77777777" w:rsidR="007D1D02" w:rsidRDefault="007D1D02" w:rsidP="007D1D02">
      <w:pPr>
        <w:spacing w:before="0" w:after="0"/>
      </w:pPr>
      <w:r>
        <w:t>Předkládá:</w:t>
      </w:r>
      <w:r>
        <w:tab/>
        <w:t>XY</w:t>
      </w:r>
    </w:p>
    <w:p w14:paraId="5AA25918" w14:textId="77777777" w:rsidR="007D1D02" w:rsidRDefault="007D1D02" w:rsidP="007D1D02">
      <w:pPr>
        <w:spacing w:before="0" w:after="0"/>
      </w:pPr>
      <w:r>
        <w:t>Zpracoval:</w:t>
      </w:r>
      <w:r>
        <w:tab/>
        <w:t>XY, datum:</w:t>
      </w:r>
    </w:p>
    <w:p w14:paraId="2140D2A6" w14:textId="77777777" w:rsidR="007D1D02" w:rsidRPr="00A0226B" w:rsidRDefault="007D1D02" w:rsidP="007D1D02">
      <w:pPr>
        <w:spacing w:before="0" w:after="0"/>
      </w:pPr>
      <w:r>
        <w:t>Schválil:</w:t>
      </w:r>
      <w:r>
        <w:tab/>
        <w:t>XY, datum</w:t>
      </w:r>
    </w:p>
    <w:p w14:paraId="4EDDF77B" w14:textId="77777777" w:rsidR="007D1D02" w:rsidRDefault="007D1D02" w:rsidP="007D1D02">
      <w:pPr>
        <w:spacing w:before="0" w:after="0"/>
      </w:pPr>
    </w:p>
    <w:p w14:paraId="346C06F8" w14:textId="77777777" w:rsidR="007D1D02" w:rsidRPr="008738EB" w:rsidRDefault="007D1D02" w:rsidP="007D1D02">
      <w:pPr>
        <w:shd w:val="clear" w:color="auto" w:fill="D0CECE" w:themeFill="background2" w:themeFillShade="E6"/>
        <w:spacing w:before="0" w:after="0"/>
        <w:rPr>
          <w:b/>
          <w:bCs/>
        </w:rPr>
      </w:pPr>
      <w:r w:rsidRPr="008738EB">
        <w:rPr>
          <w:b/>
          <w:bCs/>
        </w:rPr>
        <w:t>Předmět jednání</w:t>
      </w:r>
    </w:p>
    <w:p w14:paraId="2F543767" w14:textId="77777777" w:rsidR="007D1D02" w:rsidRPr="008738EB" w:rsidRDefault="007D1D02" w:rsidP="007D1D02">
      <w:pPr>
        <w:rPr>
          <w:b/>
        </w:rPr>
      </w:pPr>
      <w:r w:rsidRPr="008738EB">
        <w:rPr>
          <w:b/>
        </w:rPr>
        <w:t>Obecně závazná vyhláška obce/</w:t>
      </w:r>
      <w:r>
        <w:rPr>
          <w:b/>
        </w:rPr>
        <w:t>městyse/</w:t>
      </w:r>
      <w:r w:rsidRPr="008738EB">
        <w:rPr>
          <w:b/>
        </w:rPr>
        <w:t xml:space="preserve">města XY č. X/20XX o stanovení koeficientu/ů pro výpočet daně z nemovitých věcí </w:t>
      </w:r>
    </w:p>
    <w:p w14:paraId="4CDE460E" w14:textId="77777777" w:rsidR="007D1D02" w:rsidRDefault="007D1D02" w:rsidP="007D1D02">
      <w:pPr>
        <w:shd w:val="clear" w:color="auto" w:fill="D0CECE" w:themeFill="background2" w:themeFillShade="E6"/>
        <w:spacing w:before="0" w:after="0"/>
        <w:jc w:val="left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Návrh usnesení</w:t>
      </w:r>
    </w:p>
    <w:p w14:paraId="0632668C" w14:textId="77777777" w:rsidR="007D1D02" w:rsidRPr="008738EB" w:rsidRDefault="007D1D02" w:rsidP="007D1D02">
      <w:pPr>
        <w:rPr>
          <w:b/>
          <w:bCs/>
        </w:rPr>
      </w:pPr>
      <w:r w:rsidRPr="008738EB">
        <w:rPr>
          <w:b/>
          <w:bCs/>
        </w:rPr>
        <w:t xml:space="preserve">Zastupitelstvo </w:t>
      </w:r>
      <w:r w:rsidRPr="004138AB">
        <w:rPr>
          <w:rFonts w:cstheme="minorHAnsi"/>
          <w:b/>
          <w:bCs/>
          <w:szCs w:val="22"/>
        </w:rPr>
        <w:t>obce/městyse/města</w:t>
      </w:r>
      <w:r w:rsidRPr="00EA50A3">
        <w:rPr>
          <w:rFonts w:cstheme="minorHAnsi"/>
          <w:szCs w:val="22"/>
        </w:rPr>
        <w:t xml:space="preserve"> </w:t>
      </w:r>
      <w:r w:rsidRPr="008738EB">
        <w:rPr>
          <w:b/>
          <w:bCs/>
        </w:rPr>
        <w:t xml:space="preserve">XY schvaluje Obecně závaznou vyhlášku </w:t>
      </w:r>
      <w:r w:rsidRPr="004138AB">
        <w:rPr>
          <w:rFonts w:cstheme="minorHAnsi"/>
          <w:b/>
          <w:bCs/>
          <w:szCs w:val="22"/>
        </w:rPr>
        <w:t>obce/městyse/města</w:t>
      </w:r>
      <w:r w:rsidRPr="00EA50A3">
        <w:rPr>
          <w:rFonts w:cstheme="minorHAnsi"/>
          <w:szCs w:val="22"/>
        </w:rPr>
        <w:t xml:space="preserve"> </w:t>
      </w:r>
      <w:r w:rsidRPr="008738EB">
        <w:rPr>
          <w:b/>
          <w:bCs/>
        </w:rPr>
        <w:t xml:space="preserve">XY č. X/20XX o stanovení koeficientu/ů pro výpočet daně z nemovitých věcí </w:t>
      </w:r>
    </w:p>
    <w:p w14:paraId="5694CC12" w14:textId="77777777" w:rsidR="007D1D02" w:rsidRPr="008738EB" w:rsidRDefault="007D1D02" w:rsidP="007D1D02">
      <w:pPr>
        <w:shd w:val="clear" w:color="auto" w:fill="D0CECE" w:themeFill="background2" w:themeFillShade="E6"/>
        <w:spacing w:before="0" w:after="0"/>
      </w:pPr>
      <w:r>
        <w:rPr>
          <w:b/>
          <w:bCs/>
        </w:rPr>
        <w:t xml:space="preserve">Důvodová zpráva </w:t>
      </w:r>
    </w:p>
    <w:p w14:paraId="2565A5C2" w14:textId="77777777" w:rsidR="007D1D02" w:rsidRPr="00236EB1" w:rsidRDefault="007D1D02" w:rsidP="007D1D02">
      <w:pPr>
        <w:rPr>
          <w:i/>
          <w:iCs/>
          <w:color w:val="2E74B5" w:themeColor="accent1" w:themeShade="BF"/>
        </w:rPr>
      </w:pPr>
      <w:r>
        <w:rPr>
          <w:i/>
          <w:iCs/>
          <w:color w:val="2E74B5" w:themeColor="accent1" w:themeShade="BF"/>
        </w:rPr>
        <w:t>N</w:t>
      </w:r>
      <w:r w:rsidRPr="00236EB1">
        <w:rPr>
          <w:i/>
          <w:iCs/>
          <w:color w:val="2E74B5" w:themeColor="accent1" w:themeShade="BF"/>
        </w:rPr>
        <w:t xml:space="preserve">apř.: </w:t>
      </w:r>
    </w:p>
    <w:p w14:paraId="4794C770" w14:textId="77777777" w:rsidR="007D1D02" w:rsidRPr="00236EB1" w:rsidRDefault="007D1D02" w:rsidP="007D1D02">
      <w:pPr>
        <w:rPr>
          <w:i/>
          <w:iCs/>
          <w:color w:val="2E74B5" w:themeColor="accent1" w:themeShade="BF"/>
        </w:rPr>
      </w:pPr>
      <w:r w:rsidRPr="00236EB1">
        <w:rPr>
          <w:i/>
          <w:iCs/>
          <w:color w:val="2E74B5" w:themeColor="accent1" w:themeShade="BF"/>
        </w:rPr>
        <w:t>Dne 1. ledna 2021 nabyl účinnosti zákon č. 609/2020 Sb., kterým se mění některé zákony v oblasti daní a některé další zákony (dále jen „zákon č. 609/2020 Sb.“). Na základě zákona č. 609/2020 Sb. došlo mimo jiné k novelizaci § 12 zákona č. 338/1992 Sb., o dani z nemovitých věcí, ve znění pozdějších předpisů (dále jen „ZDNV“), který upravuje místní koeficient. Obec je oprávněna obecně závaznou vyhláškou modifikovat výši daně z nemovitých věcí, a to stanovením či úpravou příslušných koeficientů. Obecně závaznou vyhlášku vydává obec na základě zmocnění zákona o dani z nemovitých věcí, a to v souladu s § 10 písm. d) zákona č. 128/2000 Sb., o obcích (obecní zřízení), ve znění pozdějších předpisů (dále jen „obecní zřízení“).</w:t>
      </w:r>
    </w:p>
    <w:p w14:paraId="31B3E3DD" w14:textId="77777777" w:rsidR="007D1D02" w:rsidRPr="00236EB1" w:rsidRDefault="007D1D02" w:rsidP="007D1D02">
      <w:pPr>
        <w:rPr>
          <w:i/>
          <w:iCs/>
          <w:color w:val="2E74B5" w:themeColor="accent1" w:themeShade="BF"/>
        </w:rPr>
      </w:pPr>
      <w:r w:rsidRPr="00236EB1">
        <w:rPr>
          <w:i/>
          <w:iCs/>
          <w:color w:val="2E74B5" w:themeColor="accent1" w:themeShade="BF"/>
        </w:rPr>
        <w:t xml:space="preserve">Obec může nově stanovit místní koeficient podle </w:t>
      </w:r>
      <w:r w:rsidRPr="00236EB1">
        <w:rPr>
          <w:rStyle w:val="Siln"/>
          <w:i/>
          <w:iCs/>
          <w:color w:val="2E74B5" w:themeColor="accent1" w:themeShade="BF"/>
        </w:rPr>
        <w:t xml:space="preserve">§ 12 zákona </w:t>
      </w:r>
      <w:r w:rsidRPr="00236EB1">
        <w:rPr>
          <w:i/>
          <w:iCs/>
          <w:color w:val="2E74B5" w:themeColor="accent1" w:themeShade="BF"/>
        </w:rPr>
        <w:t xml:space="preserve">ZDNV nejen na celou obec, ale i </w:t>
      </w:r>
      <w:r w:rsidRPr="00236EB1">
        <w:rPr>
          <w:rStyle w:val="Siln"/>
          <w:i/>
          <w:iCs/>
          <w:color w:val="2E74B5" w:themeColor="accent1" w:themeShade="BF"/>
        </w:rPr>
        <w:t>na jednotlivé části obce</w:t>
      </w:r>
      <w:r w:rsidRPr="00236EB1">
        <w:rPr>
          <w:b/>
          <w:bCs/>
          <w:i/>
          <w:iCs/>
          <w:color w:val="2E74B5" w:themeColor="accent1" w:themeShade="BF"/>
        </w:rPr>
        <w:t>.</w:t>
      </w:r>
      <w:r w:rsidRPr="00236EB1">
        <w:rPr>
          <w:i/>
          <w:iCs/>
          <w:color w:val="2E74B5" w:themeColor="accent1" w:themeShade="BF"/>
        </w:rPr>
        <w:t xml:space="preserve"> Pod pojmem "jednotlivá část obce" lze rozumět jak katastrální území, tak jinou část obce jednoznačným a nezaměnitelným způsobem vymezenou, např. uvedením názvu části obce, </w:t>
      </w:r>
      <w:r w:rsidRPr="00236EB1">
        <w:rPr>
          <w:i/>
          <w:iCs/>
          <w:color w:val="2E74B5" w:themeColor="accent1" w:themeShade="BF"/>
        </w:rPr>
        <w:lastRenderedPageBreak/>
        <w:t xml:space="preserve">názvem ulice, parcelními čísly pozemků nebo stavbami s číslem popisným či evidenčním, vždy s uvedením názvu katastrálního území, ve kterém se tyto nemovité věci nacházejí. </w:t>
      </w:r>
    </w:p>
    <w:p w14:paraId="5D395665" w14:textId="77777777" w:rsidR="007D1D02" w:rsidRPr="00236EB1" w:rsidRDefault="007D1D02" w:rsidP="007D1D02">
      <w:pPr>
        <w:rPr>
          <w:rFonts w:cstheme="minorHAnsi"/>
          <w:i/>
          <w:iCs/>
          <w:szCs w:val="22"/>
        </w:rPr>
      </w:pPr>
      <w:r w:rsidRPr="00236EB1">
        <w:rPr>
          <w:rFonts w:cstheme="minorHAnsi"/>
          <w:i/>
          <w:iCs/>
          <w:color w:val="2E74B5" w:themeColor="accent1" w:themeShade="BF"/>
          <w:szCs w:val="22"/>
        </w:rPr>
        <w:t xml:space="preserve">Na území obce/městyse/města XY // pro část obce/městyse/města XY (taxativní vymezení katastrálních území) nebo pro část obce/městyse/města XY (taxativně vymezeno </w:t>
      </w:r>
      <w:proofErr w:type="spellStart"/>
      <w:r w:rsidRPr="00236EB1">
        <w:rPr>
          <w:rFonts w:cstheme="minorHAnsi"/>
          <w:i/>
          <w:iCs/>
          <w:color w:val="2E74B5" w:themeColor="accent1" w:themeShade="BF"/>
          <w:szCs w:val="22"/>
        </w:rPr>
        <w:t>parc</w:t>
      </w:r>
      <w:proofErr w:type="spellEnd"/>
      <w:r w:rsidRPr="00236EB1">
        <w:rPr>
          <w:rFonts w:cstheme="minorHAnsi"/>
          <w:i/>
          <w:iCs/>
          <w:color w:val="2E74B5" w:themeColor="accent1" w:themeShade="BF"/>
          <w:szCs w:val="22"/>
        </w:rPr>
        <w:t xml:space="preserve">. čísly – OZV obsahuje přílohu) se stanovuje </w:t>
      </w:r>
      <w:r w:rsidRPr="00236EB1">
        <w:rPr>
          <w:rFonts w:cstheme="minorHAnsi"/>
          <w:bCs/>
          <w:i/>
          <w:iCs/>
          <w:color w:val="2E74B5" w:themeColor="accent1" w:themeShade="BF"/>
          <w:szCs w:val="22"/>
        </w:rPr>
        <w:t>místní koeficient ve výši (1,1 – 5)</w:t>
      </w:r>
      <w:r w:rsidRPr="00236EB1">
        <w:rPr>
          <w:rFonts w:cstheme="minorHAnsi"/>
          <w:i/>
          <w:iCs/>
          <w:color w:val="2E74B5" w:themeColor="accent1" w:themeShade="BF"/>
          <w:szCs w:val="22"/>
        </w:rPr>
        <w:t>, kterým se násobí daň poplatníka za jednotlivé druhy pozemků, zdanitelných staveb nebo zdanitelných jednotek, popřípadě jejich souhrny, s výjimkou pozemků uvedených v § 5 odst. 1 zákona o dani z nemovitých věcí.</w:t>
      </w:r>
      <w:r w:rsidRPr="00236EB1">
        <w:rPr>
          <w:rStyle w:val="Znakapoznpodarou"/>
          <w:rFonts w:cstheme="minorHAnsi"/>
          <w:i/>
          <w:iCs/>
          <w:color w:val="2E74B5" w:themeColor="accent1" w:themeShade="BF"/>
          <w:szCs w:val="22"/>
        </w:rPr>
        <w:footnoteReference w:id="8"/>
      </w:r>
      <w:r w:rsidRPr="00236EB1">
        <w:rPr>
          <w:rFonts w:cstheme="minorHAnsi"/>
          <w:i/>
          <w:iCs/>
          <w:color w:val="2E74B5" w:themeColor="accent1" w:themeShade="BF"/>
          <w:szCs w:val="22"/>
        </w:rPr>
        <w:t xml:space="preserve"> </w:t>
      </w:r>
    </w:p>
    <w:p w14:paraId="7BB45AF9" w14:textId="77777777" w:rsidR="007D1D02" w:rsidRDefault="007D1D02" w:rsidP="007D1D02">
      <w:pPr>
        <w:rPr>
          <w:rFonts w:cstheme="minorHAnsi"/>
          <w:szCs w:val="22"/>
        </w:rPr>
      </w:pPr>
    </w:p>
    <w:p w14:paraId="5112ED14" w14:textId="77777777" w:rsidR="007D1D02" w:rsidRDefault="007D1D02" w:rsidP="007D1D02">
      <w:pPr>
        <w:rPr>
          <w:rFonts w:cstheme="minorHAnsi"/>
          <w:szCs w:val="22"/>
        </w:rPr>
      </w:pPr>
    </w:p>
    <w:p w14:paraId="5E1E0463" w14:textId="77777777" w:rsidR="007D1D02" w:rsidRPr="00E65A2F" w:rsidRDefault="007D1D02" w:rsidP="007D1D02">
      <w:pPr>
        <w:rPr>
          <w:rFonts w:cstheme="minorHAnsi"/>
          <w:szCs w:val="22"/>
        </w:rPr>
      </w:pPr>
      <w:r w:rsidRPr="00E65A2F">
        <w:rPr>
          <w:rFonts w:cstheme="minorHAnsi"/>
          <w:szCs w:val="22"/>
        </w:rPr>
        <w:t>Tato obecně závazná vyhláška nabývá účinnosti dnem 01. 01. 20XX</w:t>
      </w:r>
    </w:p>
    <w:p w14:paraId="409B27ED" w14:textId="77777777" w:rsidR="007D1D02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  <w:r>
        <w:t xml:space="preserve">Tímto se </w:t>
      </w:r>
      <w:r w:rsidRPr="00E65A2F">
        <w:rPr>
          <w:rFonts w:cstheme="minorHAnsi"/>
          <w:szCs w:val="22"/>
        </w:rPr>
        <w:t>ruší</w:t>
      </w:r>
      <w:r>
        <w:rPr>
          <w:rFonts w:cstheme="minorHAnsi"/>
          <w:szCs w:val="22"/>
        </w:rPr>
        <w:t xml:space="preserve">/mění/nahrazuje </w:t>
      </w:r>
      <w:r w:rsidRPr="00E65A2F">
        <w:rPr>
          <w:rFonts w:cstheme="minorHAnsi"/>
          <w:szCs w:val="22"/>
        </w:rPr>
        <w:t>Obecně závazná vyhláška obce</w:t>
      </w:r>
      <w:r>
        <w:rPr>
          <w:rFonts w:cstheme="minorHAnsi"/>
          <w:szCs w:val="22"/>
        </w:rPr>
        <w:t>/města</w:t>
      </w:r>
      <w:r w:rsidRPr="00E65A2F">
        <w:rPr>
          <w:rFonts w:cstheme="minorHAnsi"/>
          <w:szCs w:val="22"/>
        </w:rPr>
        <w:t xml:space="preserve"> X</w:t>
      </w:r>
      <w:r>
        <w:rPr>
          <w:rFonts w:cstheme="minorHAnsi"/>
          <w:szCs w:val="22"/>
        </w:rPr>
        <w:t>Y</w:t>
      </w:r>
      <w:r w:rsidRPr="00E65A2F">
        <w:rPr>
          <w:rFonts w:cstheme="minorHAnsi"/>
          <w:szCs w:val="22"/>
        </w:rPr>
        <w:t xml:space="preserve"> č. X</w:t>
      </w:r>
      <w:r>
        <w:rPr>
          <w:rFonts w:cstheme="minorHAnsi"/>
          <w:szCs w:val="22"/>
        </w:rPr>
        <w:t>/XXXX</w:t>
      </w:r>
      <w:r w:rsidRPr="00E65A2F">
        <w:rPr>
          <w:rFonts w:cstheme="minorHAnsi"/>
          <w:szCs w:val="22"/>
        </w:rPr>
        <w:t xml:space="preserve"> ze dne….</w:t>
      </w:r>
    </w:p>
    <w:p w14:paraId="1B578066" w14:textId="77777777" w:rsidR="007D1D02" w:rsidRPr="00E65A2F" w:rsidRDefault="007D1D02" w:rsidP="007D1D02">
      <w:pPr>
        <w:autoSpaceDE w:val="0"/>
        <w:autoSpaceDN w:val="0"/>
        <w:adjustRightInd w:val="0"/>
        <w:spacing w:after="0" w:line="276" w:lineRule="auto"/>
        <w:rPr>
          <w:rFonts w:cstheme="minorHAnsi"/>
          <w:szCs w:val="22"/>
        </w:rPr>
      </w:pPr>
    </w:p>
    <w:p w14:paraId="06E57F9B" w14:textId="77777777" w:rsidR="007D1D02" w:rsidRPr="008738EB" w:rsidRDefault="007D1D02" w:rsidP="007D1D02">
      <w:pPr>
        <w:shd w:val="clear" w:color="auto" w:fill="D0CECE" w:themeFill="background2" w:themeFillShade="E6"/>
        <w:spacing w:before="0" w:after="0"/>
      </w:pPr>
      <w:r>
        <w:rPr>
          <w:b/>
          <w:bCs/>
        </w:rPr>
        <w:t>Projednáno v komisi / výboru</w:t>
      </w:r>
    </w:p>
    <w:p w14:paraId="2D5D19C7" w14:textId="77777777" w:rsidR="007D1D02" w:rsidRDefault="007D1D02" w:rsidP="007D1D02">
      <w:r>
        <w:t>ano – ne</w:t>
      </w:r>
    </w:p>
    <w:p w14:paraId="67B2B12C" w14:textId="77777777" w:rsidR="007D1D02" w:rsidRPr="008738EB" w:rsidRDefault="007D1D02" w:rsidP="007D1D02">
      <w:pPr>
        <w:shd w:val="clear" w:color="auto" w:fill="D0CECE" w:themeFill="background2" w:themeFillShade="E6"/>
        <w:spacing w:before="0" w:after="0"/>
      </w:pPr>
      <w:r>
        <w:rPr>
          <w:b/>
          <w:bCs/>
        </w:rPr>
        <w:t>Přílohy materiálu</w:t>
      </w:r>
    </w:p>
    <w:p w14:paraId="4D43C292" w14:textId="77777777" w:rsidR="007D1D02" w:rsidRDefault="007D1D02" w:rsidP="007D1D02">
      <w:pPr>
        <w:rPr>
          <w:bCs/>
        </w:rPr>
      </w:pPr>
      <w:r w:rsidRPr="00733587">
        <w:rPr>
          <w:bCs/>
        </w:rPr>
        <w:t xml:space="preserve">Obecně závazná vyhláška obce/města XY č. X/20XX o stanovení koeficientu/ů pro výpočet daně z nemovitých věcí </w:t>
      </w:r>
    </w:p>
    <w:p w14:paraId="0FCF736F" w14:textId="77777777" w:rsidR="003B2FEE" w:rsidRDefault="003B2FEE"/>
    <w:sectPr w:rsidR="003B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43B" w14:textId="77777777" w:rsidR="006D3FF9" w:rsidRDefault="006D3FF9" w:rsidP="007D1D02">
      <w:pPr>
        <w:spacing w:before="0" w:after="0" w:line="240" w:lineRule="auto"/>
      </w:pPr>
      <w:r>
        <w:separator/>
      </w:r>
    </w:p>
  </w:endnote>
  <w:endnote w:type="continuationSeparator" w:id="0">
    <w:p w14:paraId="1EB86265" w14:textId="77777777" w:rsidR="006D3FF9" w:rsidRDefault="006D3FF9" w:rsidP="007D1D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1804" w14:textId="77777777" w:rsidR="006D3FF9" w:rsidRDefault="006D3FF9" w:rsidP="007D1D02">
      <w:pPr>
        <w:spacing w:before="0" w:after="0" w:line="240" w:lineRule="auto"/>
      </w:pPr>
      <w:r>
        <w:separator/>
      </w:r>
    </w:p>
  </w:footnote>
  <w:footnote w:type="continuationSeparator" w:id="0">
    <w:p w14:paraId="228BEA19" w14:textId="77777777" w:rsidR="006D3FF9" w:rsidRDefault="006D3FF9" w:rsidP="007D1D02">
      <w:pPr>
        <w:spacing w:before="0" w:after="0" w:line="240" w:lineRule="auto"/>
      </w:pPr>
      <w:r>
        <w:continuationSeparator/>
      </w:r>
    </w:p>
  </w:footnote>
  <w:footnote w:id="1">
    <w:p w14:paraId="3B8C2FDC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Stanovení koeficientu podle počtu obyvatel v obci u stavebních pozemků (F)</w:t>
      </w:r>
    </w:p>
  </w:footnote>
  <w:footnote w:id="2">
    <w:p w14:paraId="0C14D614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Stanovení koeficientu podle počtu obyvatel v obci u staveb a jednotek (H, I, R a Z)</w:t>
      </w:r>
    </w:p>
  </w:footnote>
  <w:footnote w:id="3">
    <w:p w14:paraId="166577DD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§ 11 odst. 3 písm. b) ZDNV, stanovení koeficientu 1,5</w:t>
      </w:r>
    </w:p>
  </w:footnote>
  <w:footnote w:id="4">
    <w:p w14:paraId="4DB40E69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Stanovení místního koeficientu</w:t>
      </w:r>
    </w:p>
  </w:footnote>
  <w:footnote w:id="5">
    <w:p w14:paraId="0F99A3AB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Stanovení koeficientu podle počtu obyvatel v obci u staveb (H a I)</w:t>
      </w:r>
    </w:p>
  </w:footnote>
  <w:footnote w:id="6">
    <w:p w14:paraId="1428A294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Stanovení koeficientu podle počtu obyvatel v obci u jednotek (R a Z)</w:t>
      </w:r>
    </w:p>
  </w:footnote>
  <w:footnote w:id="7">
    <w:p w14:paraId="75F1B7DE" w14:textId="77777777" w:rsidR="007D1D02" w:rsidRPr="00E65A2F" w:rsidRDefault="007D1D02" w:rsidP="007D1D02">
      <w:pPr>
        <w:pStyle w:val="Textpoznpodarou"/>
        <w:rPr>
          <w:rFonts w:cstheme="minorHAnsi"/>
        </w:rPr>
      </w:pPr>
      <w:r w:rsidRPr="00E65A2F">
        <w:rPr>
          <w:rStyle w:val="Znakapoznpodarou"/>
          <w:rFonts w:eastAsiaTheme="majorEastAsia" w:cstheme="minorHAnsi"/>
        </w:rPr>
        <w:footnoteRef/>
      </w:r>
      <w:r w:rsidRPr="00E65A2F">
        <w:rPr>
          <w:rFonts w:cstheme="minorHAnsi"/>
        </w:rPr>
        <w:t xml:space="preserve"> Lze také stanovit např. pouze pro b) (chaty + příslušenství) nebo vymezit § 11 odst. 1 písm. c) garáže vystavěné odděleně od budov obytných domů (tj. pouze L)</w:t>
      </w:r>
    </w:p>
  </w:footnote>
  <w:footnote w:id="8">
    <w:p w14:paraId="5527B104" w14:textId="77777777" w:rsidR="007D1D02" w:rsidRPr="00C824AD" w:rsidRDefault="007D1D02" w:rsidP="007D1D02">
      <w:pPr>
        <w:spacing w:before="0" w:after="0" w:line="240" w:lineRule="auto"/>
        <w:rPr>
          <w:rFonts w:cstheme="minorHAnsi"/>
          <w:sz w:val="20"/>
          <w:szCs w:val="20"/>
        </w:rPr>
      </w:pPr>
      <w:r w:rsidRPr="00C824AD">
        <w:rPr>
          <w:rStyle w:val="Znakapoznpodarou"/>
          <w:sz w:val="20"/>
          <w:szCs w:val="20"/>
        </w:rPr>
        <w:footnoteRef/>
      </w:r>
      <w:r w:rsidRPr="00C824AD">
        <w:rPr>
          <w:sz w:val="20"/>
          <w:szCs w:val="20"/>
        </w:rPr>
        <w:t xml:space="preserve"> </w:t>
      </w:r>
      <w:r w:rsidRPr="00C824AD">
        <w:rPr>
          <w:rFonts w:cstheme="minorHAnsi"/>
          <w:sz w:val="20"/>
          <w:szCs w:val="20"/>
        </w:rPr>
        <w:t xml:space="preserve">Obdobně lze stanovit koeficient 1,5 - nebude se vztahovat na konkrétní území, ale na konkrétní předměty daně; lze specifikovat podle § 11 ZDNV: </w:t>
      </w:r>
      <w:r w:rsidRPr="00C824AD">
        <w:rPr>
          <w:sz w:val="20"/>
          <w:szCs w:val="20"/>
        </w:rPr>
        <w:t>u jednotlivých druhů zdanitelných staveb podle odstavce 1 písm. b) až d) a zdanitelných jednotek podle odstavce 1 písm. c) a d)</w:t>
      </w:r>
      <w:r>
        <w:rPr>
          <w:sz w:val="20"/>
          <w:szCs w:val="20"/>
        </w:rPr>
        <w:t xml:space="preserve">. Podobně lze také stanovit zvýšení či snížení koeficientu, který je přiřazen k jednotlivým obcím podle počtu obyvatel; tento koeficient se pak vztahuje na jednotlivé části obce. </w:t>
      </w:r>
    </w:p>
    <w:p w14:paraId="6EBEB98C" w14:textId="77777777" w:rsidR="007D1D02" w:rsidRDefault="007D1D02" w:rsidP="007D1D0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9B7"/>
    <w:multiLevelType w:val="multilevel"/>
    <w:tmpl w:val="DAEAFDE8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254" w:hanging="576"/>
      </w:pPr>
    </w:lvl>
    <w:lvl w:ilvl="2">
      <w:start w:val="1"/>
      <w:numFmt w:val="decimal"/>
      <w:pStyle w:val="Nadpis3"/>
      <w:lvlText w:val="%1.%2.%3"/>
      <w:lvlJc w:val="left"/>
      <w:pPr>
        <w:ind w:left="3271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i/>
        <w:iCs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D02"/>
    <w:rsid w:val="003B2FEE"/>
    <w:rsid w:val="00446490"/>
    <w:rsid w:val="006D3FF9"/>
    <w:rsid w:val="007D1D02"/>
    <w:rsid w:val="008D06D9"/>
    <w:rsid w:val="00A05373"/>
    <w:rsid w:val="00F03ED9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644D"/>
  <w15:docId w15:val="{62A157A4-469C-4B1D-8CEE-A29D59C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D02"/>
    <w:pPr>
      <w:spacing w:before="240" w:after="240" w:line="36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1D02"/>
    <w:pPr>
      <w:keepNext/>
      <w:keepLines/>
      <w:numPr>
        <w:numId w:val="1"/>
      </w:numPr>
      <w:ind w:left="431" w:hanging="431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7D1D02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D1D02"/>
    <w:pPr>
      <w:keepNext/>
      <w:keepLines/>
      <w:numPr>
        <w:ilvl w:val="2"/>
        <w:numId w:val="1"/>
      </w:numPr>
      <w:ind w:left="72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7D1D02"/>
    <w:pPr>
      <w:keepNext/>
      <w:keepLines/>
      <w:numPr>
        <w:ilvl w:val="3"/>
        <w:numId w:val="1"/>
      </w:numPr>
      <w:ind w:left="862" w:hanging="86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D1D0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D1D0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1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D1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D1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1D0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D1D0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D1D02"/>
    <w:rPr>
      <w:rFonts w:asciiTheme="majorHAnsi" w:eastAsiaTheme="majorEastAsia" w:hAnsiTheme="majorHAnsi" w:cstheme="majorBidi"/>
      <w:b/>
      <w:color w:val="1F4D78" w:themeColor="accent1" w:themeShade="7F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D1D02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D1D02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D1D02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D1D0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D1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D1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7D1D0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1D0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1D0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D1D02"/>
    <w:rPr>
      <w:vertAlign w:val="superscript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1D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1D02"/>
    <w:rPr>
      <w:rFonts w:eastAsia="Times New Roman" w:cs="Times New Roman"/>
      <w:i/>
      <w:iCs/>
      <w:color w:val="5B9BD5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06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6D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06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6D9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Kukalová</dc:creator>
  <cp:keywords/>
  <dc:description/>
  <cp:lastModifiedBy>Moravec Lukáš</cp:lastModifiedBy>
  <cp:revision>4</cp:revision>
  <dcterms:created xsi:type="dcterms:W3CDTF">2021-08-10T13:17:00Z</dcterms:created>
  <dcterms:modified xsi:type="dcterms:W3CDTF">2021-08-10T17:11:00Z</dcterms:modified>
</cp:coreProperties>
</file>